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D47E4" w14:textId="77777777" w:rsidR="001B4A17" w:rsidRPr="001B4A17" w:rsidRDefault="001B4A17" w:rsidP="001B4A17">
      <w:pPr>
        <w:jc w:val="center"/>
        <w:rPr>
          <w:b/>
          <w:color w:val="FF0000"/>
          <w:sz w:val="32"/>
          <w:u w:val="single"/>
        </w:rPr>
      </w:pPr>
      <w:r w:rsidRPr="001B4A17">
        <w:rPr>
          <w:b/>
          <w:color w:val="FF0000"/>
          <w:sz w:val="32"/>
          <w:u w:val="single"/>
        </w:rPr>
        <w:t xml:space="preserve">AI Governance </w:t>
      </w:r>
      <w:r w:rsidRPr="001B4A17">
        <w:rPr>
          <w:b/>
          <w:color w:val="FF0000"/>
          <w:sz w:val="32"/>
          <w:u w:val="single"/>
        </w:rPr>
        <w:br/>
        <w:t>O</w:t>
      </w:r>
      <w:r w:rsidRPr="001B4A17">
        <w:rPr>
          <w:b/>
          <w:color w:val="FF0000"/>
          <w:sz w:val="32"/>
          <w:u w:val="single"/>
        </w:rPr>
        <w:t>ne-Day Intensive Course with Certified AI Experts</w:t>
      </w:r>
    </w:p>
    <w:p w14:paraId="72BBCF11" w14:textId="77777777" w:rsidR="001B4A17" w:rsidRPr="001B4A17" w:rsidRDefault="001B4A17" w:rsidP="001B4A17">
      <w:pPr>
        <w:rPr>
          <w:color w:val="FF0000"/>
        </w:rPr>
      </w:pPr>
    </w:p>
    <w:p w14:paraId="2A03A5D4" w14:textId="77777777" w:rsidR="001B4A17" w:rsidRPr="001B4A17" w:rsidRDefault="001B4A17" w:rsidP="001B4A17">
      <w:pPr>
        <w:rPr>
          <w:color w:val="FF0000"/>
        </w:rPr>
      </w:pPr>
      <w:r w:rsidRPr="001B4A17">
        <w:rPr>
          <w:color w:val="FF0000"/>
        </w:rPr>
        <w:t>About SNA Technologies:</w:t>
      </w:r>
    </w:p>
    <w:p w14:paraId="68FD8A28" w14:textId="77777777" w:rsidR="001B4A17" w:rsidRDefault="001B4A17" w:rsidP="001B4A17">
      <w:pPr>
        <w:pStyle w:val="NoSpacing"/>
      </w:pPr>
      <w:r>
        <w:t>SNA Technologies Inc. (SNAT), established in February 2006 and based in Michigan, USA, is a global leader in IT solutions and training. SNA has played an active role in advancing global standards for enterprise architecture as a member of The Open Group since 2006. Led by Founder &amp; President Suresh Done, who also heads the Michigan chapter of the Association of Enterprise Architects (AEA), SNA is committed to providing cutting-edge IT consulting and training services that drive innovation.</w:t>
      </w:r>
    </w:p>
    <w:p w14:paraId="61AA200F" w14:textId="77777777" w:rsidR="001B4A17" w:rsidRDefault="001B4A17" w:rsidP="001B4A17">
      <w:pPr>
        <w:pStyle w:val="NoSpacing"/>
      </w:pPr>
    </w:p>
    <w:p w14:paraId="569CBF22" w14:textId="77777777" w:rsidR="001B4A17" w:rsidRDefault="001B4A17" w:rsidP="001B4A17">
      <w:pPr>
        <w:pStyle w:val="NoSpacing"/>
      </w:pPr>
      <w:r>
        <w:t>With a history of successfully training IT professionals globally, SNA Technologies is dedicated to empowering senior professionals with practical knowledge and strategic insights. Our training programs enable professionals to navigate the complexities of AI governance and to ensure responsible AI adoption within their organizations.</w:t>
      </w:r>
    </w:p>
    <w:p w14:paraId="565D5377" w14:textId="77777777" w:rsidR="001B4A17" w:rsidRDefault="001B4A17" w:rsidP="001B4A17">
      <w:pPr>
        <w:pStyle w:val="NoSpacing"/>
      </w:pPr>
    </w:p>
    <w:p w14:paraId="5557ED72" w14:textId="77777777" w:rsidR="001B4A17" w:rsidRDefault="001B4A17" w:rsidP="001B4A17">
      <w:pPr>
        <w:pStyle w:val="NoSpacing"/>
      </w:pPr>
      <w:r>
        <w:t>SNA’s team consists of highly experienced instructors, each with over 20 years of expertise across various sectors. This extensive experience, combined with advanced technology knowledge, makes SNA Technologies a trusted partner for AI training and consulting.</w:t>
      </w:r>
    </w:p>
    <w:p w14:paraId="293D19DD" w14:textId="77777777" w:rsidR="001B4A17" w:rsidRDefault="001B4A17" w:rsidP="001B4A17"/>
    <w:p w14:paraId="2815F8E5" w14:textId="77777777" w:rsidR="001B4A17" w:rsidRPr="001B4A17" w:rsidRDefault="001B4A17" w:rsidP="001B4A17">
      <w:pPr>
        <w:rPr>
          <w:color w:val="FF0000"/>
        </w:rPr>
      </w:pPr>
      <w:r w:rsidRPr="001B4A17">
        <w:rPr>
          <w:color w:val="FF0000"/>
        </w:rPr>
        <w:t>Why Choose SNA?</w:t>
      </w:r>
    </w:p>
    <w:p w14:paraId="6DFA3936" w14:textId="77777777" w:rsidR="001B4A17" w:rsidRDefault="001B4A17" w:rsidP="001B4A17">
      <w:r>
        <w:t>Our AI Governance course is designed for senior professionals seeking to develop a deep understanding of AI governance principles, practices, and strategies. This one-day intensive program is perfect for professionals who want to implement responsible AI systems while ensuring compliance and</w:t>
      </w:r>
      <w:r>
        <w:t xml:space="preserve"> performance standards are met.</w:t>
      </w:r>
    </w:p>
    <w:p w14:paraId="3371CC85" w14:textId="77777777" w:rsidR="001B4A17" w:rsidRPr="001B4A17" w:rsidRDefault="001B4A17" w:rsidP="001B4A17">
      <w:pPr>
        <w:rPr>
          <w:color w:val="FF0000"/>
        </w:rPr>
      </w:pPr>
      <w:r w:rsidRPr="001B4A17">
        <w:rPr>
          <w:color w:val="FF0000"/>
        </w:rPr>
        <w:t>Key reasons to choose SNA for your AI training:</w:t>
      </w:r>
    </w:p>
    <w:p w14:paraId="2FBFE68E" w14:textId="77777777" w:rsidR="001B4A17" w:rsidRDefault="001B4A17" w:rsidP="001B4A17">
      <w:r>
        <w:t>- Extensive experience in delivering AI governance training to global organizations.</w:t>
      </w:r>
    </w:p>
    <w:p w14:paraId="6FFCA010" w14:textId="77777777" w:rsidR="001B4A17" w:rsidRDefault="001B4A17" w:rsidP="001B4A17">
      <w:r>
        <w:t>- Global reach, ensuring accessible training worldwide.</w:t>
      </w:r>
    </w:p>
    <w:p w14:paraId="499574C8" w14:textId="77777777" w:rsidR="001B4A17" w:rsidRDefault="001B4A17" w:rsidP="001B4A17">
      <w:r>
        <w:t>- Expert trainers with real-world experience and certifications.</w:t>
      </w:r>
    </w:p>
    <w:p w14:paraId="05ADF6F3" w14:textId="77777777" w:rsidR="001B4A17" w:rsidRDefault="001B4A17" w:rsidP="001B4A17">
      <w:r>
        <w:t>- A hands-on, practical approach with case studies and real-world scenarios.</w:t>
      </w:r>
    </w:p>
    <w:p w14:paraId="7DE77707" w14:textId="77777777" w:rsidR="001B4A17" w:rsidRDefault="001B4A17" w:rsidP="001B4A17">
      <w:r>
        <w:t>- Access to a comprehensive library of frameworks and resources.</w:t>
      </w:r>
    </w:p>
    <w:p w14:paraId="33CE54EF" w14:textId="77777777" w:rsidR="001B4A17" w:rsidRDefault="001B4A17" w:rsidP="001B4A17">
      <w:r>
        <w:t>- Mock exams and quizzes to prepare participants for certification.</w:t>
      </w:r>
    </w:p>
    <w:p w14:paraId="0D9D2560" w14:textId="77777777" w:rsidR="001B4A17" w:rsidRDefault="001B4A17" w:rsidP="001B4A17">
      <w:r>
        <w:t>- High success rates, with an average pass rate of 98%.</w:t>
      </w:r>
      <w:bookmarkStart w:id="0" w:name="_GoBack"/>
      <w:bookmarkEnd w:id="0"/>
    </w:p>
    <w:p w14:paraId="60AF9177" w14:textId="77777777" w:rsidR="001B4A17" w:rsidRDefault="001B4A17" w:rsidP="001B4A17"/>
    <w:p w14:paraId="4A6C67E8" w14:textId="77777777" w:rsidR="001B4A17" w:rsidRDefault="001B4A17" w:rsidP="001B4A17"/>
    <w:p w14:paraId="3BDB1BC7" w14:textId="77777777" w:rsidR="001B4A17" w:rsidRDefault="001B4A17" w:rsidP="001B4A17"/>
    <w:p w14:paraId="5FC57BBB" w14:textId="77777777" w:rsidR="001B4A17" w:rsidRDefault="001B4A17" w:rsidP="001B4A17"/>
    <w:p w14:paraId="362897FD" w14:textId="77777777" w:rsidR="001B4A17" w:rsidRPr="001B4A17" w:rsidRDefault="001B4A17" w:rsidP="001B4A17">
      <w:pPr>
        <w:rPr>
          <w:color w:val="FF0000"/>
        </w:rPr>
      </w:pPr>
      <w:r w:rsidRPr="001B4A17">
        <w:rPr>
          <w:color w:val="FF0000"/>
        </w:rPr>
        <w:lastRenderedPageBreak/>
        <w:t>Course Approach</w:t>
      </w:r>
    </w:p>
    <w:p w14:paraId="4E5BA3B2" w14:textId="77777777" w:rsidR="001B4A17" w:rsidRDefault="001B4A17" w:rsidP="001B4A17">
      <w:r>
        <w:t>The AI Governance course is an interactive, instructor-led training available both in-person and online. The course content will include case studies, practical exercises, and in-depth discussions around AI governance, strategies, and best practices. Participants will also have access to materials and quizzes in advance to ensure they ar</w:t>
      </w:r>
      <w:r>
        <w:t>e well-prepared for the course.</w:t>
      </w:r>
    </w:p>
    <w:p w14:paraId="2CA3B4E3" w14:textId="77777777" w:rsidR="001B4A17" w:rsidRPr="001B4A17" w:rsidRDefault="001B4A17" w:rsidP="001B4A17">
      <w:pPr>
        <w:rPr>
          <w:color w:val="FF0000"/>
        </w:rPr>
      </w:pPr>
      <w:r w:rsidRPr="001B4A17">
        <w:rPr>
          <w:color w:val="FF0000"/>
        </w:rPr>
        <w:t>Summary</w:t>
      </w:r>
    </w:p>
    <w:p w14:paraId="1F5F3E69" w14:textId="77777777" w:rsidR="001B4A17" w:rsidRDefault="001B4A17" w:rsidP="001B4A17">
      <w:r>
        <w:t xml:space="preserve">This one-day course provides a comprehensive overview of AI governance, helping professionals understand the essential strategies, frameworks, and processes needed to govern AI technologies effectively. Attendees will learn to manage AI risks, ensure ethical compliance, and create robust governance structures that align </w:t>
      </w:r>
      <w:r>
        <w:t>with organizational objectives.</w:t>
      </w:r>
    </w:p>
    <w:p w14:paraId="23EA02BC" w14:textId="77777777" w:rsidR="001B4A17" w:rsidRPr="001B4A17" w:rsidRDefault="001B4A17" w:rsidP="001B4A17">
      <w:pPr>
        <w:rPr>
          <w:color w:val="FF0000"/>
        </w:rPr>
      </w:pPr>
      <w:r w:rsidRPr="001B4A17">
        <w:rPr>
          <w:color w:val="FF0000"/>
        </w:rPr>
        <w:t>Learning Goals</w:t>
      </w:r>
    </w:p>
    <w:p w14:paraId="6377AFCD" w14:textId="77777777" w:rsidR="001B4A17" w:rsidRDefault="001B4A17" w:rsidP="001B4A17">
      <w:r>
        <w:t>Upon completion of the course, participants will be able to:</w:t>
      </w:r>
    </w:p>
    <w:p w14:paraId="01A02C95" w14:textId="77777777" w:rsidR="001B4A17" w:rsidRDefault="001B4A17" w:rsidP="001B4A17">
      <w:r>
        <w:t>- Understand the key principles of AI governance.</w:t>
      </w:r>
    </w:p>
    <w:p w14:paraId="78DB1330" w14:textId="77777777" w:rsidR="001B4A17" w:rsidRDefault="001B4A17" w:rsidP="001B4A17">
      <w:r>
        <w:t>- Develop and implement an AI strategy and roadmap that aligns with business goals.</w:t>
      </w:r>
    </w:p>
    <w:p w14:paraId="077C0816" w14:textId="77777777" w:rsidR="001B4A17" w:rsidRDefault="001B4A17" w:rsidP="001B4A17">
      <w:r>
        <w:t>- Navigate AI standards, regulations, and ethical considerations.</w:t>
      </w:r>
    </w:p>
    <w:p w14:paraId="3C4EE55F" w14:textId="77777777" w:rsidR="001B4A17" w:rsidRDefault="001B4A17" w:rsidP="001B4A17">
      <w:r>
        <w:t>- Build and manage AI teams with the right skills for successful implementation.</w:t>
      </w:r>
    </w:p>
    <w:p w14:paraId="39C23BE3" w14:textId="77777777" w:rsidR="001B4A17" w:rsidRDefault="001B4A17" w:rsidP="001B4A17">
      <w:r>
        <w:t>- Integrate AI within the enterprise IT environment effectively.</w:t>
      </w:r>
    </w:p>
    <w:p w14:paraId="6B804D27" w14:textId="77777777" w:rsidR="001B4A17" w:rsidRDefault="001B4A17" w:rsidP="001B4A17">
      <w:r>
        <w:t xml:space="preserve">- Apply </w:t>
      </w:r>
      <w:proofErr w:type="spellStart"/>
      <w:r>
        <w:t>MLOps</w:t>
      </w:r>
      <w:proofErr w:type="spellEnd"/>
      <w:r>
        <w:t xml:space="preserve"> practices to manage AI lifecycle processes.</w:t>
      </w:r>
    </w:p>
    <w:p w14:paraId="341CBB44" w14:textId="77777777" w:rsidR="001B4A17" w:rsidRDefault="001B4A17" w:rsidP="001B4A17">
      <w:r>
        <w:t>- Utilize performance metrics to assess</w:t>
      </w:r>
      <w:r>
        <w:t xml:space="preserve"> AI effectiveness and outcomes.</w:t>
      </w:r>
    </w:p>
    <w:p w14:paraId="4D490156" w14:textId="77777777" w:rsidR="001B4A17" w:rsidRDefault="001B4A17" w:rsidP="001B4A17"/>
    <w:p w14:paraId="04C50DB9" w14:textId="77777777" w:rsidR="001B4A17" w:rsidRPr="001B4A17" w:rsidRDefault="001B4A17" w:rsidP="001B4A17">
      <w:pPr>
        <w:rPr>
          <w:color w:val="FF0000"/>
        </w:rPr>
      </w:pPr>
      <w:r w:rsidRPr="001B4A17">
        <w:rPr>
          <w:color w:val="FF0000"/>
        </w:rPr>
        <w:t>Topics Covered (1 Day)</w:t>
      </w:r>
    </w:p>
    <w:p w14:paraId="16AC1EA4" w14:textId="77777777" w:rsidR="001B4A17" w:rsidRDefault="001B4A17" w:rsidP="001B4A17">
      <w:r>
        <w:t>1. What is AI Governance?</w:t>
      </w:r>
    </w:p>
    <w:p w14:paraId="64204867" w14:textId="77777777" w:rsidR="001B4A17" w:rsidRDefault="001B4A17" w:rsidP="001B4A17">
      <w:r>
        <w:t>2. AI Strategy and Roadmap</w:t>
      </w:r>
    </w:p>
    <w:p w14:paraId="4586748E" w14:textId="77777777" w:rsidR="001B4A17" w:rsidRDefault="001B4A17" w:rsidP="001B4A17">
      <w:r>
        <w:t>3. AI Standards</w:t>
      </w:r>
    </w:p>
    <w:p w14:paraId="52323CF5" w14:textId="77777777" w:rsidR="001B4A17" w:rsidRDefault="001B4A17" w:rsidP="001B4A17">
      <w:r>
        <w:t>4. AI Skills and Teams</w:t>
      </w:r>
    </w:p>
    <w:p w14:paraId="6C5966E2" w14:textId="77777777" w:rsidR="001B4A17" w:rsidRDefault="001B4A17" w:rsidP="001B4A17">
      <w:r>
        <w:t>5. Data, Programming Methods, and Tools</w:t>
      </w:r>
    </w:p>
    <w:p w14:paraId="3CCCCAD0" w14:textId="77777777" w:rsidR="001B4A17" w:rsidRDefault="001B4A17" w:rsidP="001B4A17">
      <w:r>
        <w:t>6. Technology Infrastructure and Cloud</w:t>
      </w:r>
    </w:p>
    <w:p w14:paraId="178D57D2" w14:textId="77777777" w:rsidR="001B4A17" w:rsidRDefault="001B4A17" w:rsidP="001B4A17">
      <w:r>
        <w:t>7. Methodology and Processes</w:t>
      </w:r>
    </w:p>
    <w:p w14:paraId="246EC6FE" w14:textId="77777777" w:rsidR="001B4A17" w:rsidRDefault="001B4A17" w:rsidP="001B4A17">
      <w:r>
        <w:t xml:space="preserve">8. </w:t>
      </w:r>
      <w:proofErr w:type="spellStart"/>
      <w:r>
        <w:t>MLOps</w:t>
      </w:r>
      <w:proofErr w:type="spellEnd"/>
    </w:p>
    <w:p w14:paraId="48D4BE7D" w14:textId="77777777" w:rsidR="001B4A17" w:rsidRDefault="001B4A17" w:rsidP="001B4A17">
      <w:r>
        <w:t>9. Ethics and Regulations</w:t>
      </w:r>
    </w:p>
    <w:p w14:paraId="249C8E70" w14:textId="77777777" w:rsidR="001B4A17" w:rsidRDefault="001B4A17" w:rsidP="001B4A17">
      <w:r>
        <w:t>10. Security in AI</w:t>
      </w:r>
    </w:p>
    <w:p w14:paraId="25112E0A" w14:textId="77777777" w:rsidR="001B4A17" w:rsidRDefault="001B4A17" w:rsidP="001B4A17">
      <w:r>
        <w:lastRenderedPageBreak/>
        <w:t>11. Enterprise IT Integration</w:t>
      </w:r>
    </w:p>
    <w:p w14:paraId="1F1FF6D3" w14:textId="77777777" w:rsidR="001B4A17" w:rsidRDefault="001B4A17" w:rsidP="001B4A17">
      <w:r>
        <w:t>12. Risk Management</w:t>
      </w:r>
    </w:p>
    <w:p w14:paraId="284CB12E" w14:textId="77777777" w:rsidR="001B4A17" w:rsidRDefault="001B4A17" w:rsidP="001B4A17">
      <w:r>
        <w:t>13. AI Performance Metrics</w:t>
      </w:r>
    </w:p>
    <w:p w14:paraId="2135F1DA" w14:textId="77777777" w:rsidR="001B4A17" w:rsidRDefault="001B4A17" w:rsidP="001B4A17"/>
    <w:p w14:paraId="2D8BFE41" w14:textId="77777777" w:rsidR="001B4A17" w:rsidRPr="001B4A17" w:rsidRDefault="001B4A17" w:rsidP="001B4A17">
      <w:pPr>
        <w:rPr>
          <w:color w:val="FF0000"/>
        </w:rPr>
      </w:pPr>
      <w:r w:rsidRPr="001B4A17">
        <w:rPr>
          <w:color w:val="FF0000"/>
        </w:rPr>
        <w:t>What Attendees Get</w:t>
      </w:r>
    </w:p>
    <w:p w14:paraId="6EA5D715" w14:textId="77777777" w:rsidR="001B4A17" w:rsidRDefault="001B4A17" w:rsidP="001B4A17">
      <w:r>
        <w:t>The course registration includes:</w:t>
      </w:r>
    </w:p>
    <w:p w14:paraId="6B3927CE" w14:textId="77777777" w:rsidR="001B4A17" w:rsidRDefault="001B4A17" w:rsidP="001B4A17">
      <w:r>
        <w:t>- Participant workbooks</w:t>
      </w:r>
    </w:p>
    <w:p w14:paraId="0AB8E853" w14:textId="77777777" w:rsidR="001B4A17" w:rsidRDefault="001B4A17" w:rsidP="001B4A17">
      <w:r>
        <w:t>- Practical exercises and case studies</w:t>
      </w:r>
    </w:p>
    <w:p w14:paraId="72B56D93" w14:textId="77777777" w:rsidR="001B4A17" w:rsidRDefault="001B4A17" w:rsidP="001B4A17">
      <w:r>
        <w:t>- Access to networking opportunities with professionals and industry experts</w:t>
      </w:r>
    </w:p>
    <w:p w14:paraId="35398DCC" w14:textId="77777777" w:rsidR="001B4A17" w:rsidRDefault="001B4A17" w:rsidP="001B4A17">
      <w:r>
        <w:t>- Certification of completion</w:t>
      </w:r>
    </w:p>
    <w:p w14:paraId="7C01AC70" w14:textId="77777777" w:rsidR="001B4A17" w:rsidRDefault="001B4A17" w:rsidP="001B4A17"/>
    <w:p w14:paraId="67414304" w14:textId="77777777" w:rsidR="001B4A17" w:rsidRPr="001B4A17" w:rsidRDefault="001B4A17" w:rsidP="001B4A17">
      <w:pPr>
        <w:rPr>
          <w:color w:val="FF0000"/>
        </w:rPr>
      </w:pPr>
      <w:r w:rsidRPr="001B4A17">
        <w:rPr>
          <w:color w:val="FF0000"/>
        </w:rPr>
        <w:t>Who Will Benefit?</w:t>
      </w:r>
    </w:p>
    <w:p w14:paraId="4DB4D3E2" w14:textId="77777777" w:rsidR="001B4A17" w:rsidRDefault="001B4A17" w:rsidP="001B4A17">
      <w:r>
        <w:t>This course is ideal for:</w:t>
      </w:r>
    </w:p>
    <w:p w14:paraId="2D31605E" w14:textId="77777777" w:rsidR="001B4A17" w:rsidRDefault="001B4A17" w:rsidP="001B4A17">
      <w:r>
        <w:t>- Senior professionals, executives, and managers involved in AI governance and strategy.</w:t>
      </w:r>
    </w:p>
    <w:p w14:paraId="5A4AB2C4" w14:textId="77777777" w:rsidR="001B4A17" w:rsidRDefault="001B4A17" w:rsidP="001B4A17">
      <w:r>
        <w:t>- IT leaders responsible for overseeing AI initiatives and ensuring compliance.</w:t>
      </w:r>
    </w:p>
    <w:p w14:paraId="7EB8E104" w14:textId="77777777" w:rsidR="001B4A17" w:rsidRDefault="001B4A17" w:rsidP="001B4A17">
      <w:r>
        <w:t>- AI project managers, architects, and teams working on AI-driven projects.</w:t>
      </w:r>
    </w:p>
    <w:p w14:paraId="159D522A" w14:textId="77777777" w:rsidR="001B4A17" w:rsidRDefault="001B4A17" w:rsidP="001B4A17">
      <w:r>
        <w:t>- Business strategists and analysts focused on integrating AI within organizations.</w:t>
      </w:r>
    </w:p>
    <w:p w14:paraId="4F65C489" w14:textId="77777777" w:rsidR="001B4A17" w:rsidRDefault="001B4A17" w:rsidP="001B4A17"/>
    <w:p w14:paraId="0E31AD37" w14:textId="77777777" w:rsidR="001B4A17" w:rsidRPr="001B4A17" w:rsidRDefault="001B4A17" w:rsidP="001B4A17">
      <w:pPr>
        <w:rPr>
          <w:color w:val="FF0000"/>
        </w:rPr>
      </w:pPr>
      <w:r w:rsidRPr="001B4A17">
        <w:rPr>
          <w:color w:val="FF0000"/>
        </w:rPr>
        <w:t>Prerequisites</w:t>
      </w:r>
    </w:p>
    <w:p w14:paraId="22CECA9C" w14:textId="77777777" w:rsidR="001B4A17" w:rsidRDefault="001B4A17" w:rsidP="001B4A17">
      <w:r>
        <w:t>While no formal prerequisites are required, a basic understanding of AI concepts and technology principles will help maximize learning outcomes.</w:t>
      </w:r>
    </w:p>
    <w:p w14:paraId="723F7BEA" w14:textId="77777777" w:rsidR="001B4A17" w:rsidRDefault="001B4A17" w:rsidP="001B4A17"/>
    <w:p w14:paraId="0881B786" w14:textId="77777777" w:rsidR="001B4A17" w:rsidRPr="001B4A17" w:rsidRDefault="001B4A17" w:rsidP="001B4A17">
      <w:pPr>
        <w:rPr>
          <w:color w:val="FF0000"/>
        </w:rPr>
      </w:pPr>
      <w:r w:rsidRPr="001B4A17">
        <w:rPr>
          <w:color w:val="FF0000"/>
        </w:rPr>
        <w:t>Professional Development Units (PDUs)</w:t>
      </w:r>
    </w:p>
    <w:p w14:paraId="736A385D" w14:textId="77777777" w:rsidR="00774A91" w:rsidRDefault="001B4A17" w:rsidP="001B4A17">
      <w:r>
        <w:t>Participants may be eligible to apply for PDUs toward continuing education with relevant certification bodies.</w:t>
      </w:r>
    </w:p>
    <w:sectPr w:rsidR="00774A9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6F377" w14:textId="77777777" w:rsidR="00610A5D" w:rsidRDefault="00610A5D" w:rsidP="002939D5">
      <w:pPr>
        <w:spacing w:after="0" w:line="240" w:lineRule="auto"/>
      </w:pPr>
      <w:r>
        <w:separator/>
      </w:r>
    </w:p>
  </w:endnote>
  <w:endnote w:type="continuationSeparator" w:id="0">
    <w:p w14:paraId="301FD2E2" w14:textId="77777777" w:rsidR="00610A5D" w:rsidRDefault="00610A5D" w:rsidP="0029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440F" w14:textId="71C72FC6" w:rsidR="002939D5" w:rsidRDefault="00F727E2" w:rsidP="002939D5">
    <w:pPr>
      <w:pBdr>
        <w:top w:val="nil"/>
        <w:left w:val="nil"/>
        <w:bottom w:val="nil"/>
        <w:right w:val="nil"/>
        <w:between w:val="nil"/>
      </w:pBdr>
      <w:tabs>
        <w:tab w:val="center" w:pos="4680"/>
        <w:tab w:val="right" w:pos="9360"/>
      </w:tabs>
      <w:spacing w:after="0" w:line="240" w:lineRule="auto"/>
      <w:rPr>
        <w:b/>
        <w:color w:val="003399"/>
        <w:sz w:val="24"/>
        <w:szCs w:val="24"/>
      </w:rPr>
    </w:pPr>
    <w:r>
      <w:t xml:space="preserve">                                                                </w:t>
    </w:r>
    <w:r w:rsidR="002939D5">
      <w:t xml:space="preserve"> </w:t>
    </w:r>
    <w:r w:rsidR="002939D5">
      <w:rPr>
        <w:rFonts w:ascii="Calibri" w:eastAsia="Calibri" w:hAnsi="Calibri" w:cs="Calibri"/>
        <w:b/>
        <w:color w:val="003399"/>
        <w:sz w:val="24"/>
        <w:szCs w:val="24"/>
      </w:rPr>
      <w:t>SNA TECHNOLOGIES</w:t>
    </w:r>
    <w:r w:rsidR="002939D5">
      <w:rPr>
        <w:noProof/>
        <w:lang w:eastAsia="en-IN"/>
      </w:rPr>
      <mc:AlternateContent>
        <mc:Choice Requires="wps">
          <w:drawing>
            <wp:anchor distT="0" distB="0" distL="114300" distR="114300" simplePos="0" relativeHeight="251662336" behindDoc="0" locked="0" layoutInCell="1" hidden="0" allowOverlap="1" wp14:anchorId="33CE8111" wp14:editId="143A269F">
              <wp:simplePos x="0" y="0"/>
              <wp:positionH relativeFrom="column">
                <wp:posOffset>-317499</wp:posOffset>
              </wp:positionH>
              <wp:positionV relativeFrom="paragraph">
                <wp:posOffset>-25399</wp:posOffset>
              </wp:positionV>
              <wp:extent cx="652272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084640" y="3780000"/>
                        <a:ext cx="65227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01ABDCFF" id="_x0000_t32" coordsize="21600,21600" o:spt="32" o:oned="t" path="m,l21600,21600e" filled="f">
              <v:path arrowok="t" fillok="f" o:connecttype="none"/>
              <o:lock v:ext="edit" shapetype="t"/>
            </v:shapetype>
            <v:shape id="Straight Arrow Connector 5" o:spid="_x0000_s1026" type="#_x0000_t32" style="position:absolute;margin-left:-25pt;margin-top:-2pt;width:513.6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N/8AEAAM8DAAAOAAAAZHJzL2Uyb0RvYy54bWysU8lu2zAQvRfoPxC815LV2HEMy0FhN70U&#10;rYG0HzChKIsAN8ywlv33HdKO0+VQIKgO1JCc5b2Zx9X90Vlx0Egm+FZOJ7UU2qvQGb9v5fdvD+8W&#10;UlAC34ENXrfypEner9++WY1xqZswBNtpFJzE03KMrRxSisuqIjVoBzQJUXu+7AM6SLzFfdUhjJzd&#10;2aqp63k1BuwiBqWJ+HR7vpTrkr/vtUpf+550EraVjC2VFcv6lNdqvYLlHiEORl1gwCtQODCei15T&#10;bSGB+IHmr1TOKAwU+jRRwVWh743ShQOzmdZ/sHkcIOrChZtD8dom+n9p1ZfDDoXpWjmTwoPjET0m&#10;BLMfkviAGEaxCd5zGwOKWe7WGGnJQRu/w8uO4g4z9WOPLv+ZlDi2sqkXN/Mb7vmple9vFzV/527r&#10;YxKKHeazprlt2EGxR7mrXpJEpPRJByey0Uq6YLqCmZZuw+EzJYbBgc8BGYEPD8baMlrrxci6vKtn&#10;uRCwwnoLiU0XmTP5fclDwZoux+Tooj29sSgOwKoBpbRP04ydy/zmmWtugYazY7k6U3Qmsaqtca0s&#10;xC/MBw3dR9+JdIrcZ88PQmZ05KSwmp8PGwV0AmP/7cdorGdQeSLnGWTrKXSnMppyzqopsC8Kz7L8&#10;dV+iX97h+icAAAD//wMAUEsDBBQABgAIAAAAIQATRIVd3gAAAAkBAAAPAAAAZHJzL2Rvd25yZXYu&#10;eG1sTI/NTsMwEITvSH0Ha5G4tXajkkKIUyEkTohCWwRXN94mKfE6it00vD3bE5z2bzT7Tb4aXSsG&#10;7EPjScN8pkAgld42VGn42D1P70CEaMia1hNq+MEAq2JylZvM+jNtcNjGSrAJhcxoqGPsMilDWaMz&#10;YeY7JL4dfO9M5LGvpO3Nmc1dKxOlUulMQ/yhNh0+1Vh+b09Ow3jYpIv4/pquFQ0Jfr68HXdfUuub&#10;6/HxAUTEMf6J4YLP6FAw096fyAbRapjeKs4SuVlwZcH9cpmA2PNirkAWufyfoPgFAAD//wMAUEsB&#10;Ai0AFAAGAAgAAAAhALaDOJL+AAAA4QEAABMAAAAAAAAAAAAAAAAAAAAAAFtDb250ZW50X1R5cGVz&#10;XS54bWxQSwECLQAUAAYACAAAACEAOP0h/9YAAACUAQAACwAAAAAAAAAAAAAAAAAvAQAAX3JlbHMv&#10;LnJlbHNQSwECLQAUAAYACAAAACEAcy5jf/ABAADPAwAADgAAAAAAAAAAAAAAAAAuAgAAZHJzL2Uy&#10;b0RvYy54bWxQSwECLQAUAAYACAAAACEAE0SFXd4AAAAJAQAADwAAAAAAAAAAAAAAAABKBAAAZHJz&#10;L2Rvd25yZXYueG1sUEsFBgAAAAAEAAQA8wAAAFUFAAAAAA==&#10;" strokecolor="#5b9bd5 [3204]" strokeweight="1.5pt">
              <v:stroke startarrowwidth="narrow" startarrowlength="short" endarrowwidth="narrow" endarrowlength="short" joinstyle="miter"/>
            </v:shape>
          </w:pict>
        </mc:Fallback>
      </mc:AlternateContent>
    </w:r>
    <w:r w:rsidR="002939D5">
      <w:rPr>
        <w:rFonts w:ascii="Calibri" w:eastAsia="Calibri" w:hAnsi="Calibri" w:cs="Calibri"/>
        <w:b/>
        <w:color w:val="003399"/>
        <w:sz w:val="24"/>
        <w:szCs w:val="24"/>
      </w:rPr>
      <w:t xml:space="preserve">   </w:t>
    </w:r>
  </w:p>
  <w:p w14:paraId="704BCF29" w14:textId="77777777" w:rsidR="002939D5" w:rsidRDefault="002939D5" w:rsidP="002939D5">
    <w:pPr>
      <w:pBdr>
        <w:top w:val="nil"/>
        <w:left w:val="nil"/>
        <w:bottom w:val="nil"/>
        <w:right w:val="nil"/>
        <w:between w:val="nil"/>
      </w:pBdr>
      <w:tabs>
        <w:tab w:val="center" w:pos="4680"/>
        <w:tab w:val="right" w:pos="9360"/>
      </w:tabs>
      <w:spacing w:after="0" w:line="240" w:lineRule="auto"/>
      <w:jc w:val="center"/>
      <w:rPr>
        <w:b/>
        <w:color w:val="000000"/>
      </w:rPr>
    </w:pPr>
    <w:r>
      <w:rPr>
        <w:rFonts w:ascii="Calibri" w:eastAsia="Calibri" w:hAnsi="Calibri" w:cs="Calibri"/>
        <w:b/>
        <w:color w:val="000000"/>
      </w:rPr>
      <w:t xml:space="preserve">Level 2, Oval Building, </w:t>
    </w:r>
    <w:proofErr w:type="spellStart"/>
    <w:r>
      <w:rPr>
        <w:rFonts w:ascii="Calibri" w:eastAsia="Calibri" w:hAnsi="Calibri" w:cs="Calibri"/>
        <w:b/>
        <w:color w:val="000000"/>
      </w:rPr>
      <w:t>iLabs</w:t>
    </w:r>
    <w:proofErr w:type="spellEnd"/>
    <w:r>
      <w:rPr>
        <w:rFonts w:ascii="Calibri" w:eastAsia="Calibri" w:hAnsi="Calibri" w:cs="Calibri"/>
        <w:b/>
        <w:color w:val="000000"/>
      </w:rPr>
      <w:t xml:space="preserve"> Centre, Plot No 18, </w:t>
    </w:r>
    <w:proofErr w:type="spellStart"/>
    <w:r>
      <w:rPr>
        <w:rFonts w:ascii="Calibri" w:eastAsia="Calibri" w:hAnsi="Calibri" w:cs="Calibri"/>
        <w:b/>
        <w:color w:val="000000"/>
      </w:rPr>
      <w:t>Madhapur</w:t>
    </w:r>
    <w:proofErr w:type="spellEnd"/>
    <w:r>
      <w:rPr>
        <w:rFonts w:ascii="Calibri" w:eastAsia="Calibri" w:hAnsi="Calibri" w:cs="Calibri"/>
        <w:b/>
        <w:color w:val="000000"/>
      </w:rPr>
      <w:t>, Hyderabad -500081 Contact: 9160001915</w:t>
    </w:r>
  </w:p>
  <w:p w14:paraId="27573E53" w14:textId="77777777" w:rsidR="002939D5" w:rsidRPr="002939D5" w:rsidRDefault="002939D5" w:rsidP="002939D5">
    <w:pPr>
      <w:pBdr>
        <w:top w:val="nil"/>
        <w:left w:val="nil"/>
        <w:bottom w:val="nil"/>
        <w:right w:val="nil"/>
        <w:between w:val="nil"/>
      </w:pBdr>
      <w:tabs>
        <w:tab w:val="center" w:pos="4680"/>
        <w:tab w:val="right" w:pos="9360"/>
      </w:tabs>
      <w:spacing w:after="0" w:line="240" w:lineRule="auto"/>
      <w:jc w:val="center"/>
      <w:rPr>
        <w:color w:val="000000"/>
      </w:rPr>
    </w:pPr>
    <w:r>
      <w:rPr>
        <w:rFonts w:ascii="Calibri" w:eastAsia="Calibri" w:hAnsi="Calibri" w:cs="Calibri"/>
        <w:color w:val="000000"/>
        <w:sz w:val="24"/>
        <w:szCs w:val="24"/>
        <w:u w:val="single"/>
      </w:rPr>
      <w:t>www.snatechnologies.com</w:t>
    </w:r>
    <w:r>
      <w:rPr>
        <w:rFonts w:ascii="Calibri" w:eastAsia="Calibri" w:hAnsi="Calibri" w:cs="Calibri"/>
        <w:color w:val="000000"/>
        <w:sz w:val="24"/>
        <w:szCs w:val="24"/>
      </w:rPr>
      <w:t xml:space="preserve"> | </w:t>
    </w:r>
    <w:hyperlink r:id="rId1">
      <w:r>
        <w:rPr>
          <w:rFonts w:ascii="Calibri" w:eastAsia="Calibri" w:hAnsi="Calibri" w:cs="Calibri"/>
          <w:color w:val="000000"/>
          <w:sz w:val="24"/>
          <w:szCs w:val="24"/>
          <w:u w:val="single"/>
        </w:rPr>
        <w:t>info@snatechnologies.com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D1FCB" w14:textId="77777777" w:rsidR="00610A5D" w:rsidRDefault="00610A5D" w:rsidP="002939D5">
      <w:pPr>
        <w:spacing w:after="0" w:line="240" w:lineRule="auto"/>
      </w:pPr>
      <w:r>
        <w:separator/>
      </w:r>
    </w:p>
  </w:footnote>
  <w:footnote w:type="continuationSeparator" w:id="0">
    <w:p w14:paraId="42F7A18B" w14:textId="77777777" w:rsidR="00610A5D" w:rsidRDefault="00610A5D" w:rsidP="00293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B571" w14:textId="77777777" w:rsidR="002939D5" w:rsidRDefault="002939D5" w:rsidP="002939D5">
    <w:pPr>
      <w:tabs>
        <w:tab w:val="right" w:pos="6083"/>
      </w:tabs>
      <w:spacing w:after="0"/>
      <w:ind w:right="307"/>
      <w:rPr>
        <w:rFonts w:ascii="Times New Roman" w:eastAsia="Times New Roman" w:hAnsi="Times New Roman" w:cs="Times New Roman"/>
        <w:sz w:val="24"/>
        <w:szCs w:val="24"/>
      </w:rPr>
    </w:pPr>
    <w:r>
      <w:rPr>
        <w:noProof/>
        <w:lang w:eastAsia="en-IN"/>
      </w:rPr>
      <w:drawing>
        <wp:anchor distT="0" distB="0" distL="114300" distR="114300" simplePos="0" relativeHeight="251659264" behindDoc="0" locked="0" layoutInCell="1" hidden="0" allowOverlap="1" wp14:anchorId="200B203B" wp14:editId="65E03360">
          <wp:simplePos x="0" y="0"/>
          <wp:positionH relativeFrom="page">
            <wp:posOffset>4562475</wp:posOffset>
          </wp:positionH>
          <wp:positionV relativeFrom="page">
            <wp:posOffset>457200</wp:posOffset>
          </wp:positionV>
          <wp:extent cx="2581275" cy="43815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1275" cy="438150"/>
                  </a:xfrm>
                  <a:prstGeom prst="rect">
                    <a:avLst/>
                  </a:prstGeom>
                  <a:ln/>
                </pic:spPr>
              </pic:pic>
            </a:graphicData>
          </a:graphic>
        </wp:anchor>
      </w:drawing>
    </w:r>
    <w:r>
      <w:rPr>
        <w:rFonts w:ascii="Times New Roman" w:eastAsia="Times New Roman" w:hAnsi="Times New Roman" w:cs="Times New Roman"/>
        <w:noProof/>
        <w:sz w:val="24"/>
        <w:szCs w:val="24"/>
        <w:lang w:eastAsia="en-IN"/>
      </w:rPr>
      <w:drawing>
        <wp:anchor distT="0" distB="0" distL="114300" distR="114300" simplePos="0" relativeHeight="251660288" behindDoc="0" locked="0" layoutInCell="1" hidden="0" allowOverlap="1" wp14:anchorId="651FCFB3" wp14:editId="10700077">
          <wp:simplePos x="0" y="0"/>
          <wp:positionH relativeFrom="page">
            <wp:posOffset>8688324</wp:posOffset>
          </wp:positionH>
          <wp:positionV relativeFrom="page">
            <wp:posOffset>263652</wp:posOffset>
          </wp:positionV>
          <wp:extent cx="3133344" cy="7391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33344" cy="739140"/>
                  </a:xfrm>
                  <a:prstGeom prst="rect">
                    <a:avLst/>
                  </a:prstGeom>
                  <a:ln/>
                </pic:spPr>
              </pic:pic>
            </a:graphicData>
          </a:graphic>
        </wp:anchor>
      </w:drawing>
    </w:r>
    <w:r>
      <w:rPr>
        <w:rFonts w:ascii="Times New Roman" w:eastAsia="Times New Roman" w:hAnsi="Times New Roman" w:cs="Times New Roman"/>
        <w:sz w:val="24"/>
        <w:szCs w:val="24"/>
      </w:rPr>
      <w:t xml:space="preserve">Email: </w:t>
    </w:r>
    <w:hyperlink r:id="rId2">
      <w:r>
        <w:rPr>
          <w:rFonts w:ascii="Times New Roman" w:eastAsia="Times New Roman" w:hAnsi="Times New Roman" w:cs="Times New Roman"/>
          <w:color w:val="0563C1"/>
          <w:sz w:val="24"/>
          <w:szCs w:val="24"/>
          <w:u w:val="single"/>
        </w:rPr>
        <w:t>info@snatechnologies.com</w:t>
      </w:r>
    </w:hyperlink>
  </w:p>
  <w:p w14:paraId="749C7DF9" w14:textId="77777777" w:rsidR="002939D5" w:rsidRDefault="002939D5" w:rsidP="002939D5">
    <w:pPr>
      <w:spacing w:after="0"/>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w:t>
    </w:r>
    <w:hyperlink r:id="rId3">
      <w:r>
        <w:rPr>
          <w:rFonts w:ascii="Times New Roman" w:eastAsia="Times New Roman" w:hAnsi="Times New Roman" w:cs="Times New Roman"/>
          <w:color w:val="0563C1"/>
          <w:sz w:val="24"/>
          <w:szCs w:val="24"/>
          <w:u w:val="single"/>
        </w:rPr>
        <w:t>www.snatechnologies.com</w:t>
      </w:r>
    </w:hyperlink>
  </w:p>
  <w:p w14:paraId="3299B610" w14:textId="77777777" w:rsidR="002939D5" w:rsidRDefault="002939D5" w:rsidP="002939D5">
    <w:pPr>
      <w:tabs>
        <w:tab w:val="left" w:pos="3825"/>
      </w:tabs>
      <w:spacing w:after="0"/>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Number: +91-8179834496</w:t>
    </w:r>
    <w:r>
      <w:rPr>
        <w:rFonts w:ascii="Times New Roman" w:eastAsia="Times New Roman" w:hAnsi="Times New Roman" w:cs="Times New Roman"/>
        <w:sz w:val="24"/>
        <w:szCs w:val="24"/>
      </w:rPr>
      <w:tab/>
    </w:r>
  </w:p>
  <w:p w14:paraId="4DEA6059" w14:textId="77777777" w:rsidR="002939D5" w:rsidRDefault="00293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D5"/>
    <w:rsid w:val="001B4A17"/>
    <w:rsid w:val="002939D5"/>
    <w:rsid w:val="00610A5D"/>
    <w:rsid w:val="00774A91"/>
    <w:rsid w:val="009C571C"/>
    <w:rsid w:val="00F727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5A75"/>
  <w15:chartTrackingRefBased/>
  <w15:docId w15:val="{6B946664-5B73-4925-8370-9666D510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9D5"/>
  </w:style>
  <w:style w:type="paragraph" w:styleId="Footer">
    <w:name w:val="footer"/>
    <w:basedOn w:val="Normal"/>
    <w:link w:val="FooterChar"/>
    <w:uiPriority w:val="99"/>
    <w:unhideWhenUsed/>
    <w:rsid w:val="00293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9D5"/>
  </w:style>
  <w:style w:type="paragraph" w:styleId="NoSpacing">
    <w:name w:val="No Spacing"/>
    <w:uiPriority w:val="1"/>
    <w:qFormat/>
    <w:rsid w:val="001B4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natechnologie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natechnologies.com" TargetMode="External"/><Relationship Id="rId2" Type="http://schemas.openxmlformats.org/officeDocument/2006/relationships/hyperlink" Target="mailto:info@snatechnologie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Vats</dc:creator>
  <cp:keywords/>
  <dc:description/>
  <cp:lastModifiedBy>Aditi Vats</cp:lastModifiedBy>
  <cp:revision>3</cp:revision>
  <dcterms:created xsi:type="dcterms:W3CDTF">2024-11-06T09:11:00Z</dcterms:created>
  <dcterms:modified xsi:type="dcterms:W3CDTF">2024-11-06T09:12:00Z</dcterms:modified>
</cp:coreProperties>
</file>